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37EC" w:rsidRPr="001C2AF7" w:rsidRDefault="00A837EC" w:rsidP="00A837EC">
      <w:pPr>
        <w:spacing w:line="480" w:lineRule="auto"/>
        <w:ind w:left="1134"/>
        <w:jc w:val="center"/>
        <w:rPr>
          <w:rFonts w:ascii="Arial" w:hAnsi="Arial" w:cs="Arial"/>
          <w:b/>
          <w:color w:val="000000"/>
          <w:lang w:val="es-PE"/>
        </w:rPr>
      </w:pPr>
      <w:r w:rsidRPr="00756B7E">
        <w:rPr>
          <w:rFonts w:ascii="Arial" w:hAnsi="Arial" w:cs="Arial"/>
          <w:b/>
          <w:color w:val="000000"/>
          <w:lang w:val="es-PE"/>
        </w:rPr>
        <w:t>RESUMEN</w:t>
      </w:r>
    </w:p>
    <w:p w:rsidR="00A837EC" w:rsidRDefault="00A837EC" w:rsidP="00A837EC">
      <w:pPr>
        <w:spacing w:line="480" w:lineRule="auto"/>
        <w:jc w:val="center"/>
        <w:rPr>
          <w:rFonts w:ascii="Arial" w:hAnsi="Arial" w:cs="Arial"/>
          <w:color w:val="000000"/>
          <w:lang w:val="es-PE"/>
        </w:rPr>
      </w:pPr>
    </w:p>
    <w:p w:rsidR="00A837EC" w:rsidRPr="00CC7F4F" w:rsidRDefault="00A837EC" w:rsidP="00A837EC">
      <w:pPr>
        <w:spacing w:line="480" w:lineRule="auto"/>
        <w:ind w:left="480"/>
        <w:jc w:val="both"/>
        <w:rPr>
          <w:rFonts w:ascii="Arial" w:hAnsi="Arial" w:cs="Arial"/>
          <w:b/>
          <w:color w:val="000000"/>
          <w:lang w:val="es-PE"/>
        </w:rPr>
      </w:pPr>
      <w:r w:rsidRPr="00CC7F4F">
        <w:rPr>
          <w:rFonts w:ascii="Arial" w:hAnsi="Arial" w:cs="Arial"/>
          <w:b/>
          <w:color w:val="000000"/>
          <w:lang w:val="es-PE"/>
        </w:rPr>
        <w:t>Objetivos:</w:t>
      </w:r>
      <w:r w:rsidRPr="009777EB">
        <w:t xml:space="preserve"> </w:t>
      </w:r>
      <w:r w:rsidRPr="009777EB">
        <w:rPr>
          <w:rFonts w:ascii="Arial" w:hAnsi="Arial" w:cs="Arial"/>
          <w:color w:val="000000"/>
          <w:lang w:val="es-PE"/>
        </w:rPr>
        <w:t>Determinar la Correlaci</w:t>
      </w:r>
      <w:r>
        <w:rPr>
          <w:rFonts w:ascii="Arial" w:hAnsi="Arial" w:cs="Arial"/>
          <w:color w:val="000000"/>
          <w:lang w:val="es-PE"/>
        </w:rPr>
        <w:t xml:space="preserve">ón </w:t>
      </w:r>
      <w:r w:rsidRPr="006558BC">
        <w:rPr>
          <w:rFonts w:ascii="Arial" w:hAnsi="Arial" w:cs="Arial"/>
          <w:color w:val="000000"/>
          <w:lang w:val="es-PE"/>
        </w:rPr>
        <w:t xml:space="preserve">entre citología e histología en el diagnóstico de Lesiones </w:t>
      </w:r>
      <w:proofErr w:type="spellStart"/>
      <w:r w:rsidRPr="006558BC">
        <w:rPr>
          <w:rFonts w:ascii="Arial" w:hAnsi="Arial" w:cs="Arial"/>
          <w:color w:val="000000"/>
          <w:lang w:val="es-PE"/>
        </w:rPr>
        <w:t>intraepiteliales</w:t>
      </w:r>
      <w:proofErr w:type="spellEnd"/>
      <w:r w:rsidRPr="006558BC">
        <w:rPr>
          <w:rFonts w:ascii="Arial" w:hAnsi="Arial" w:cs="Arial"/>
          <w:color w:val="000000"/>
          <w:lang w:val="es-PE"/>
        </w:rPr>
        <w:t xml:space="preserve"> de cuello uterino en pacientes del</w:t>
      </w:r>
      <w:r w:rsidRPr="009777EB">
        <w:rPr>
          <w:rFonts w:ascii="Arial" w:hAnsi="Arial" w:cs="Arial"/>
          <w:color w:val="000000"/>
          <w:lang w:val="es-PE"/>
        </w:rPr>
        <w:t xml:space="preserve"> Hospital San Juan de Lurigancho 2010-2013</w:t>
      </w:r>
    </w:p>
    <w:p w:rsidR="00A837EC" w:rsidRDefault="00A837EC" w:rsidP="00A837EC">
      <w:pPr>
        <w:spacing w:line="480" w:lineRule="auto"/>
        <w:ind w:left="480"/>
        <w:jc w:val="both"/>
        <w:rPr>
          <w:rFonts w:ascii="Arial" w:hAnsi="Arial" w:cs="Arial"/>
          <w:b/>
          <w:color w:val="000000"/>
          <w:lang w:val="es-PE"/>
        </w:rPr>
      </w:pPr>
      <w:bookmarkStart w:id="0" w:name="_GoBack"/>
      <w:bookmarkEnd w:id="0"/>
    </w:p>
    <w:p w:rsidR="00A837EC" w:rsidRPr="009777EB" w:rsidRDefault="00A837EC" w:rsidP="00A837EC">
      <w:pPr>
        <w:spacing w:line="480" w:lineRule="auto"/>
        <w:ind w:left="480"/>
        <w:jc w:val="both"/>
        <w:rPr>
          <w:rFonts w:ascii="Arial" w:hAnsi="Arial" w:cs="Arial"/>
          <w:color w:val="000000"/>
          <w:lang w:val="es-PE"/>
        </w:rPr>
      </w:pPr>
      <w:r w:rsidRPr="00CC7F4F">
        <w:rPr>
          <w:rFonts w:ascii="Arial" w:hAnsi="Arial" w:cs="Arial"/>
          <w:b/>
          <w:color w:val="000000"/>
          <w:lang w:val="es-PE"/>
        </w:rPr>
        <w:t>Tipo de estudio:</w:t>
      </w:r>
      <w:r>
        <w:rPr>
          <w:rFonts w:ascii="Arial" w:hAnsi="Arial" w:cs="Arial"/>
          <w:b/>
          <w:color w:val="000000"/>
          <w:lang w:val="es-PE"/>
        </w:rPr>
        <w:t xml:space="preserve"> </w:t>
      </w:r>
      <w:r w:rsidRPr="009777EB">
        <w:rPr>
          <w:rFonts w:ascii="Arial" w:hAnsi="Arial" w:cs="Arial"/>
          <w:color w:val="000000"/>
          <w:lang w:val="es-PE"/>
        </w:rPr>
        <w:t>Estudio descriptivo, retrospectivo, no experimental.</w:t>
      </w:r>
    </w:p>
    <w:p w:rsidR="00A837EC" w:rsidRDefault="00A837EC" w:rsidP="00A837EC">
      <w:pPr>
        <w:spacing w:line="480" w:lineRule="auto"/>
        <w:ind w:left="480"/>
        <w:jc w:val="both"/>
        <w:rPr>
          <w:rFonts w:ascii="Arial" w:hAnsi="Arial" w:cs="Arial"/>
          <w:b/>
          <w:color w:val="000000"/>
          <w:lang w:val="es-PE"/>
        </w:rPr>
      </w:pPr>
    </w:p>
    <w:p w:rsidR="00A837EC" w:rsidRDefault="00A837EC" w:rsidP="00A837EC">
      <w:pPr>
        <w:spacing w:line="480" w:lineRule="auto"/>
        <w:ind w:left="480"/>
        <w:jc w:val="both"/>
        <w:rPr>
          <w:rFonts w:ascii="Arial" w:hAnsi="Arial" w:cs="Arial"/>
          <w:color w:val="000000"/>
          <w:lang w:val="es-PE"/>
        </w:rPr>
      </w:pPr>
      <w:r w:rsidRPr="00CC7F4F">
        <w:rPr>
          <w:rFonts w:ascii="Arial" w:hAnsi="Arial" w:cs="Arial"/>
          <w:b/>
          <w:color w:val="000000"/>
          <w:lang w:val="es-PE"/>
        </w:rPr>
        <w:t>Hallazgos:</w:t>
      </w:r>
      <w:r>
        <w:rPr>
          <w:rFonts w:ascii="Arial" w:hAnsi="Arial" w:cs="Arial"/>
          <w:color w:val="000000"/>
          <w:lang w:val="es-PE"/>
        </w:rPr>
        <w:t xml:space="preserve"> Entre el 2010-2013 s</w:t>
      </w:r>
      <w:r w:rsidRPr="006232E8">
        <w:rPr>
          <w:rFonts w:ascii="Arial" w:hAnsi="Arial" w:cs="Arial"/>
          <w:color w:val="000000"/>
          <w:lang w:val="es-PE"/>
        </w:rPr>
        <w:t>e</w:t>
      </w:r>
      <w:r>
        <w:rPr>
          <w:rFonts w:ascii="Arial" w:hAnsi="Arial" w:cs="Arial"/>
          <w:color w:val="000000"/>
          <w:lang w:val="es-PE"/>
        </w:rPr>
        <w:t xml:space="preserve"> revisaron 5732 informes citológicos </w:t>
      </w:r>
      <w:proofErr w:type="spellStart"/>
      <w:r>
        <w:rPr>
          <w:rFonts w:ascii="Arial" w:hAnsi="Arial" w:cs="Arial"/>
          <w:color w:val="000000"/>
          <w:lang w:val="es-PE"/>
        </w:rPr>
        <w:t>cérvico</w:t>
      </w:r>
      <w:proofErr w:type="spellEnd"/>
      <w:r>
        <w:rPr>
          <w:rFonts w:ascii="Arial" w:hAnsi="Arial" w:cs="Arial"/>
          <w:color w:val="000000"/>
          <w:lang w:val="es-PE"/>
        </w:rPr>
        <w:t xml:space="preserve">-vaginal en mujeres con un rango de edad de 21-79 años. Se reportó como negativas para lesión </w:t>
      </w:r>
      <w:proofErr w:type="spellStart"/>
      <w:r>
        <w:rPr>
          <w:rFonts w:ascii="Arial" w:hAnsi="Arial" w:cs="Arial"/>
          <w:color w:val="000000"/>
          <w:lang w:val="es-PE"/>
        </w:rPr>
        <w:t>intraepitelial</w:t>
      </w:r>
      <w:proofErr w:type="spellEnd"/>
      <w:r>
        <w:rPr>
          <w:rFonts w:ascii="Arial" w:hAnsi="Arial" w:cs="Arial"/>
          <w:color w:val="000000"/>
          <w:lang w:val="es-PE"/>
        </w:rPr>
        <w:t xml:space="preserve"> el 97.2%. El universo fueron 110 pacientes a quienes se les hizo una biopsia de cérvix. </w:t>
      </w:r>
    </w:p>
    <w:p w:rsidR="00A837EC" w:rsidRDefault="00A837EC" w:rsidP="00A837EC">
      <w:pPr>
        <w:spacing w:line="480" w:lineRule="auto"/>
        <w:ind w:left="480"/>
        <w:jc w:val="both"/>
        <w:rPr>
          <w:rFonts w:ascii="Arial" w:hAnsi="Arial" w:cs="Arial"/>
          <w:b/>
          <w:color w:val="000000"/>
          <w:lang w:val="es-PE"/>
        </w:rPr>
      </w:pPr>
    </w:p>
    <w:p w:rsidR="00A837EC" w:rsidRDefault="00A837EC" w:rsidP="00A837EC">
      <w:pPr>
        <w:spacing w:line="480" w:lineRule="auto"/>
        <w:ind w:left="480"/>
        <w:jc w:val="both"/>
        <w:rPr>
          <w:rFonts w:ascii="Arial" w:hAnsi="Arial" w:cs="Arial"/>
          <w:color w:val="000000"/>
          <w:lang w:val="es-PE"/>
        </w:rPr>
      </w:pPr>
      <w:r>
        <w:rPr>
          <w:rFonts w:ascii="Arial" w:hAnsi="Arial" w:cs="Arial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4979670</wp:posOffset>
                </wp:positionH>
                <wp:positionV relativeFrom="paragraph">
                  <wp:posOffset>4488815</wp:posOffset>
                </wp:positionV>
                <wp:extent cx="660400" cy="393700"/>
                <wp:effectExtent l="1905" t="1270" r="4445" b="0"/>
                <wp:wrapNone/>
                <wp:docPr id="1" name="Rectángul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0400" cy="393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ángulo 1" o:spid="_x0000_s1026" style="position:absolute;margin-left:392.1pt;margin-top:353.45pt;width:52pt;height:3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" stroked="f"/>
            </w:pict>
          </mc:Fallback>
        </mc:AlternateContent>
      </w:r>
      <w:r w:rsidRPr="00CC7F4F">
        <w:rPr>
          <w:rFonts w:ascii="Arial" w:hAnsi="Arial" w:cs="Arial"/>
          <w:b/>
          <w:color w:val="000000"/>
          <w:lang w:val="es-PE"/>
        </w:rPr>
        <w:t>Resultados:</w:t>
      </w:r>
      <w:r>
        <w:rPr>
          <w:rFonts w:ascii="Arial" w:hAnsi="Arial" w:cs="Arial"/>
          <w:color w:val="000000"/>
          <w:lang w:val="es-PE"/>
        </w:rPr>
        <w:t xml:space="preserve"> La edad promedio de las mujeres diagnosticadas de LIEBG y LIEAG mediante Papanicolaou fue 45 y 44.2 respectivamente. La sensibilidad, especificidad, valor predictivo positivo y valor predictivo negativo fueron 66.67%, 65.7%, 80.6% y 47.9 % respectivamente. Los verdaderos positivos, falsos positivos, falsos negativos y verdaderos negativos fueron 50, 12, 25 y 23 casos respectivamente. La discrepancia citológica-histológica fue de 33% (37/110). La </w:t>
      </w:r>
      <w:r w:rsidRPr="000B67FC">
        <w:rPr>
          <w:rFonts w:ascii="Arial" w:hAnsi="Arial" w:cs="Arial"/>
          <w:color w:val="000000"/>
          <w:lang w:val="es-PE"/>
        </w:rPr>
        <w:t>Correlación en lesiones de bajo grado</w:t>
      </w:r>
      <w:r>
        <w:rPr>
          <w:rFonts w:ascii="Arial" w:hAnsi="Arial" w:cs="Arial"/>
          <w:color w:val="000000"/>
          <w:lang w:val="es-PE"/>
        </w:rPr>
        <w:t xml:space="preserve"> fue de</w:t>
      </w:r>
      <w:r w:rsidRPr="000B67FC">
        <w:rPr>
          <w:rFonts w:ascii="Arial" w:hAnsi="Arial" w:cs="Arial"/>
          <w:color w:val="000000"/>
          <w:lang w:val="es-PE"/>
        </w:rPr>
        <w:t xml:space="preserve"> 78.3% (29/37)</w:t>
      </w:r>
      <w:r>
        <w:rPr>
          <w:rFonts w:ascii="Arial" w:hAnsi="Arial" w:cs="Arial"/>
          <w:color w:val="000000"/>
          <w:lang w:val="es-PE"/>
        </w:rPr>
        <w:t>. Hubo un infra-diagnó</w:t>
      </w:r>
      <w:r w:rsidRPr="000B67FC">
        <w:rPr>
          <w:rFonts w:ascii="Arial" w:hAnsi="Arial" w:cs="Arial"/>
          <w:color w:val="000000"/>
          <w:lang w:val="es-PE"/>
        </w:rPr>
        <w:t>stico en 7.1% (3/42) que terminaron siendo LIEAG y 2.3% (1/42) que result</w:t>
      </w:r>
      <w:r>
        <w:rPr>
          <w:rFonts w:ascii="Arial" w:hAnsi="Arial" w:cs="Arial"/>
          <w:color w:val="000000"/>
          <w:lang w:val="es-PE"/>
        </w:rPr>
        <w:t>ó</w:t>
      </w:r>
      <w:r w:rsidRPr="000B67FC">
        <w:rPr>
          <w:rFonts w:ascii="Arial" w:hAnsi="Arial" w:cs="Arial"/>
          <w:color w:val="000000"/>
          <w:lang w:val="es-PE"/>
        </w:rPr>
        <w:t xml:space="preserve"> siendo neoplas</w:t>
      </w:r>
      <w:r>
        <w:rPr>
          <w:rFonts w:ascii="Arial" w:hAnsi="Arial" w:cs="Arial"/>
          <w:color w:val="000000"/>
          <w:lang w:val="es-PE"/>
        </w:rPr>
        <w:t>ia maligna. Hubo un sobre-diagnó</w:t>
      </w:r>
      <w:r w:rsidRPr="000B67FC">
        <w:rPr>
          <w:rFonts w:ascii="Arial" w:hAnsi="Arial" w:cs="Arial"/>
          <w:color w:val="000000"/>
          <w:lang w:val="es-PE"/>
        </w:rPr>
        <w:t xml:space="preserve">stico en 21.4 % (9/42) pues resultaron siendo negativos para lesiones </w:t>
      </w:r>
      <w:proofErr w:type="spellStart"/>
      <w:r w:rsidRPr="000B67FC">
        <w:rPr>
          <w:rFonts w:ascii="Arial" w:hAnsi="Arial" w:cs="Arial"/>
          <w:color w:val="000000"/>
          <w:lang w:val="es-PE"/>
        </w:rPr>
        <w:t>intraepiteliales</w:t>
      </w:r>
      <w:proofErr w:type="spellEnd"/>
      <w:r w:rsidRPr="000B67FC">
        <w:rPr>
          <w:rFonts w:ascii="Arial" w:hAnsi="Arial" w:cs="Arial"/>
          <w:color w:val="000000"/>
          <w:lang w:val="es-PE"/>
        </w:rPr>
        <w:t xml:space="preserve"> o neoplasia maligna.</w:t>
      </w:r>
    </w:p>
    <w:p w:rsidR="00A837EC" w:rsidRDefault="00A837EC" w:rsidP="00A837EC">
      <w:pPr>
        <w:spacing w:line="480" w:lineRule="auto"/>
        <w:ind w:left="480"/>
        <w:jc w:val="both"/>
        <w:rPr>
          <w:rFonts w:ascii="Arial" w:hAnsi="Arial" w:cs="Arial"/>
          <w:color w:val="000000"/>
          <w:lang w:val="es-PE"/>
        </w:rPr>
      </w:pPr>
      <w:r>
        <w:rPr>
          <w:rFonts w:ascii="Arial" w:hAnsi="Arial" w:cs="Arial"/>
          <w:color w:val="000000"/>
          <w:lang w:val="es-PE"/>
        </w:rPr>
        <w:lastRenderedPageBreak/>
        <w:t xml:space="preserve">La </w:t>
      </w:r>
      <w:r w:rsidRPr="000B67FC">
        <w:rPr>
          <w:rFonts w:ascii="Arial" w:hAnsi="Arial" w:cs="Arial"/>
          <w:color w:val="000000"/>
          <w:lang w:val="es-PE"/>
        </w:rPr>
        <w:t>Correlación en lesiones de alto grado</w:t>
      </w:r>
      <w:r>
        <w:rPr>
          <w:rFonts w:ascii="Arial" w:hAnsi="Arial" w:cs="Arial"/>
          <w:color w:val="000000"/>
          <w:lang w:val="es-PE"/>
        </w:rPr>
        <w:t xml:space="preserve"> fue de 72.7% (8</w:t>
      </w:r>
      <w:r w:rsidRPr="000B67FC">
        <w:rPr>
          <w:rFonts w:ascii="Arial" w:hAnsi="Arial" w:cs="Arial"/>
          <w:color w:val="000000"/>
          <w:lang w:val="es-PE"/>
        </w:rPr>
        <w:t>/</w:t>
      </w:r>
      <w:r>
        <w:rPr>
          <w:rFonts w:ascii="Arial" w:hAnsi="Arial" w:cs="Arial"/>
          <w:color w:val="000000"/>
          <w:lang w:val="es-PE"/>
        </w:rPr>
        <w:t>11</w:t>
      </w:r>
      <w:r w:rsidRPr="000B67FC">
        <w:rPr>
          <w:rFonts w:ascii="Arial" w:hAnsi="Arial" w:cs="Arial"/>
          <w:color w:val="000000"/>
          <w:lang w:val="es-PE"/>
        </w:rPr>
        <w:t xml:space="preserve">). </w:t>
      </w:r>
      <w:r>
        <w:rPr>
          <w:rFonts w:ascii="Arial" w:hAnsi="Arial" w:cs="Arial"/>
          <w:color w:val="000000"/>
          <w:lang w:val="es-PE"/>
        </w:rPr>
        <w:t>No h</w:t>
      </w:r>
      <w:r w:rsidRPr="000B67FC">
        <w:rPr>
          <w:rFonts w:ascii="Arial" w:hAnsi="Arial" w:cs="Arial"/>
          <w:color w:val="000000"/>
          <w:lang w:val="es-PE"/>
        </w:rPr>
        <w:t>ubo un infra-d</w:t>
      </w:r>
      <w:r>
        <w:rPr>
          <w:rFonts w:ascii="Arial" w:hAnsi="Arial" w:cs="Arial"/>
          <w:color w:val="000000"/>
          <w:lang w:val="es-PE"/>
        </w:rPr>
        <w:t>iagnó</w:t>
      </w:r>
      <w:r w:rsidRPr="000B67FC">
        <w:rPr>
          <w:rFonts w:ascii="Arial" w:hAnsi="Arial" w:cs="Arial"/>
          <w:color w:val="000000"/>
          <w:lang w:val="es-PE"/>
        </w:rPr>
        <w:t xml:space="preserve">stico </w:t>
      </w:r>
      <w:r>
        <w:rPr>
          <w:rFonts w:ascii="Arial" w:hAnsi="Arial" w:cs="Arial"/>
          <w:color w:val="000000"/>
          <w:lang w:val="es-PE"/>
        </w:rPr>
        <w:t>(casos que hubiesen resultad</w:t>
      </w:r>
      <w:r w:rsidRPr="000B67FC">
        <w:rPr>
          <w:rFonts w:ascii="Arial" w:hAnsi="Arial" w:cs="Arial"/>
          <w:color w:val="000000"/>
          <w:lang w:val="es-PE"/>
        </w:rPr>
        <w:t>o siendo neoplasia maligna</w:t>
      </w:r>
      <w:r>
        <w:rPr>
          <w:rFonts w:ascii="Arial" w:hAnsi="Arial" w:cs="Arial"/>
          <w:color w:val="000000"/>
          <w:lang w:val="es-PE"/>
        </w:rPr>
        <w:t xml:space="preserve"> invasiva). Hubo un sobre-diagnó</w:t>
      </w:r>
      <w:r w:rsidRPr="000B67FC">
        <w:rPr>
          <w:rFonts w:ascii="Arial" w:hAnsi="Arial" w:cs="Arial"/>
          <w:color w:val="000000"/>
          <w:lang w:val="es-PE"/>
        </w:rPr>
        <w:t xml:space="preserve">stico en 57 % (11/19) pues resultaron siendo LIEBG 42% (8/19) o negativos para lesiones </w:t>
      </w:r>
      <w:proofErr w:type="spellStart"/>
      <w:r w:rsidRPr="000B67FC">
        <w:rPr>
          <w:rFonts w:ascii="Arial" w:hAnsi="Arial" w:cs="Arial"/>
          <w:color w:val="000000"/>
          <w:lang w:val="es-PE"/>
        </w:rPr>
        <w:t>intraepiteliales</w:t>
      </w:r>
      <w:proofErr w:type="spellEnd"/>
      <w:r w:rsidRPr="000B67FC">
        <w:rPr>
          <w:rFonts w:ascii="Arial" w:hAnsi="Arial" w:cs="Arial"/>
          <w:color w:val="000000"/>
          <w:lang w:val="es-PE"/>
        </w:rPr>
        <w:t xml:space="preserve"> o neoplasia maligna 15% (3/19).</w:t>
      </w:r>
    </w:p>
    <w:p w:rsidR="00A837EC" w:rsidRDefault="00A837EC" w:rsidP="00A837EC">
      <w:pPr>
        <w:spacing w:line="480" w:lineRule="auto"/>
        <w:ind w:left="480"/>
        <w:jc w:val="both"/>
        <w:rPr>
          <w:rFonts w:ascii="Arial" w:hAnsi="Arial" w:cs="Arial"/>
          <w:b/>
          <w:color w:val="000000"/>
          <w:lang w:val="es-PE"/>
        </w:rPr>
      </w:pPr>
    </w:p>
    <w:p w:rsidR="00A837EC" w:rsidRDefault="00A837EC" w:rsidP="00A837EC">
      <w:pPr>
        <w:spacing w:line="480" w:lineRule="auto"/>
        <w:ind w:left="480"/>
        <w:jc w:val="both"/>
        <w:rPr>
          <w:rFonts w:ascii="Arial" w:hAnsi="Arial" w:cs="Arial"/>
          <w:color w:val="000000"/>
          <w:lang w:val="es-PE"/>
        </w:rPr>
      </w:pPr>
      <w:r w:rsidRPr="00CC7F4F">
        <w:rPr>
          <w:rFonts w:ascii="Arial" w:hAnsi="Arial" w:cs="Arial"/>
          <w:b/>
          <w:color w:val="000000"/>
          <w:lang w:val="es-PE"/>
        </w:rPr>
        <w:t>Conclusiones:</w:t>
      </w:r>
      <w:r>
        <w:rPr>
          <w:rFonts w:ascii="Arial" w:hAnsi="Arial" w:cs="Arial"/>
          <w:color w:val="000000"/>
          <w:lang w:val="es-PE"/>
        </w:rPr>
        <w:t xml:space="preserve"> </w:t>
      </w:r>
      <w:r w:rsidRPr="002C0A8B">
        <w:rPr>
          <w:rFonts w:ascii="Arial" w:hAnsi="Arial" w:cs="Arial"/>
          <w:color w:val="000000"/>
          <w:lang w:val="es-PE"/>
        </w:rPr>
        <w:t>Se rechaza que no hay</w:t>
      </w:r>
      <w:r>
        <w:rPr>
          <w:rFonts w:ascii="Arial" w:hAnsi="Arial" w:cs="Arial"/>
          <w:color w:val="000000"/>
          <w:lang w:val="es-PE"/>
        </w:rPr>
        <w:t>a correlación entre el estudio c</w:t>
      </w:r>
      <w:r w:rsidRPr="002C0A8B">
        <w:rPr>
          <w:rFonts w:ascii="Arial" w:hAnsi="Arial" w:cs="Arial"/>
          <w:color w:val="000000"/>
          <w:lang w:val="es-PE"/>
        </w:rPr>
        <w:t>itol</w:t>
      </w:r>
      <w:r>
        <w:rPr>
          <w:rFonts w:ascii="Arial" w:hAnsi="Arial" w:cs="Arial"/>
          <w:color w:val="000000"/>
          <w:lang w:val="es-PE"/>
        </w:rPr>
        <w:t>ógico e histológico en el diagnó</w:t>
      </w:r>
      <w:r w:rsidRPr="002C0A8B">
        <w:rPr>
          <w:rFonts w:ascii="Arial" w:hAnsi="Arial" w:cs="Arial"/>
          <w:color w:val="000000"/>
          <w:lang w:val="es-PE"/>
        </w:rPr>
        <w:t xml:space="preserve">stico de lesiones </w:t>
      </w:r>
      <w:proofErr w:type="spellStart"/>
      <w:r w:rsidRPr="002C0A8B">
        <w:rPr>
          <w:rFonts w:ascii="Arial" w:hAnsi="Arial" w:cs="Arial"/>
          <w:color w:val="000000"/>
          <w:lang w:val="es-PE"/>
        </w:rPr>
        <w:t>intraepiteliales</w:t>
      </w:r>
      <w:proofErr w:type="spellEnd"/>
      <w:r w:rsidRPr="002C0A8B">
        <w:rPr>
          <w:rFonts w:ascii="Arial" w:hAnsi="Arial" w:cs="Arial"/>
          <w:color w:val="000000"/>
          <w:lang w:val="es-PE"/>
        </w:rPr>
        <w:t xml:space="preserve"> de cuello uterino</w:t>
      </w:r>
      <w:r>
        <w:rPr>
          <w:rFonts w:ascii="Arial" w:hAnsi="Arial" w:cs="Arial"/>
          <w:color w:val="000000"/>
          <w:lang w:val="es-PE"/>
        </w:rPr>
        <w:t>.</w:t>
      </w:r>
    </w:p>
    <w:p w:rsidR="00A837EC" w:rsidRPr="00137013" w:rsidRDefault="00A837EC" w:rsidP="00A837EC">
      <w:pPr>
        <w:spacing w:line="480" w:lineRule="auto"/>
        <w:jc w:val="center"/>
        <w:rPr>
          <w:rFonts w:ascii="Arial" w:hAnsi="Arial" w:cs="Arial"/>
          <w:color w:val="000000"/>
          <w:lang w:val="es-PE"/>
        </w:rPr>
      </w:pPr>
    </w:p>
    <w:p w:rsidR="00A837EC" w:rsidRPr="00137013" w:rsidRDefault="00A837EC" w:rsidP="00A837EC">
      <w:pPr>
        <w:spacing w:line="480" w:lineRule="auto"/>
        <w:ind w:left="480"/>
        <w:jc w:val="both"/>
        <w:rPr>
          <w:rFonts w:ascii="Arial" w:hAnsi="Arial" w:cs="Arial"/>
          <w:color w:val="000000"/>
          <w:lang w:val="es-PE"/>
        </w:rPr>
      </w:pPr>
      <w:r w:rsidRPr="009777EB">
        <w:rPr>
          <w:rFonts w:ascii="Arial" w:hAnsi="Arial" w:cs="Arial"/>
          <w:b/>
          <w:color w:val="000000"/>
          <w:lang w:val="es-PE"/>
        </w:rPr>
        <w:t>Palabras clave:</w:t>
      </w:r>
      <w:r>
        <w:rPr>
          <w:rFonts w:ascii="Arial" w:hAnsi="Arial" w:cs="Arial"/>
          <w:color w:val="000000"/>
          <w:lang w:val="es-PE"/>
        </w:rPr>
        <w:t xml:space="preserve"> Correlación, Citología, Histología, discrepancia, </w:t>
      </w:r>
      <w:proofErr w:type="spellStart"/>
      <w:r>
        <w:rPr>
          <w:rFonts w:ascii="Arial" w:hAnsi="Arial" w:cs="Arial"/>
          <w:color w:val="000000"/>
          <w:lang w:val="es-PE"/>
        </w:rPr>
        <w:t>screening</w:t>
      </w:r>
      <w:proofErr w:type="spellEnd"/>
    </w:p>
    <w:p w:rsidR="00974D62" w:rsidRPr="00A837EC" w:rsidRDefault="00A837EC">
      <w:pPr>
        <w:rPr>
          <w:lang w:val="es-PE"/>
        </w:rPr>
      </w:pPr>
    </w:p>
    <w:sectPr w:rsidR="00974D62" w:rsidRPr="00A837E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7EC"/>
    <w:rsid w:val="00127EFF"/>
    <w:rsid w:val="00951EE7"/>
    <w:rsid w:val="00A837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37E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37E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287</Words>
  <Characters>1581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Nancy Salsavilca Manco</dc:creator>
  <cp:lastModifiedBy>Maria Nancy Salsavilca Manco</cp:lastModifiedBy>
  <cp:revision>1</cp:revision>
  <dcterms:created xsi:type="dcterms:W3CDTF">2016-08-12T18:22:00Z</dcterms:created>
  <dcterms:modified xsi:type="dcterms:W3CDTF">2016-08-12T18:23:00Z</dcterms:modified>
</cp:coreProperties>
</file>